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593CAF32" w:rsidR="00646A1C" w:rsidRPr="006F1866" w:rsidRDefault="00834A35" w:rsidP="00646A1C">
      <w:pPr>
        <w:ind w:left="0"/>
        <w:jc w:val="center"/>
        <w:rPr>
          <w:b/>
        </w:rPr>
      </w:pPr>
      <w:bookmarkStart w:id="0" w:name="_Hlk536530882"/>
      <w:r>
        <w:rPr>
          <w:b/>
        </w:rPr>
        <w:t>Prohlášení účastníka</w:t>
      </w:r>
      <w:r w:rsidR="00646A1C" w:rsidRPr="006F1866">
        <w:rPr>
          <w:b/>
        </w:rPr>
        <w:t xml:space="preserve"> o akceptaci vybraných ustanovení </w:t>
      </w:r>
      <w:r w:rsidR="00100A29">
        <w:rPr>
          <w:b/>
        </w:rPr>
        <w:t>Všeobecných nákupních</w:t>
      </w:r>
      <w:r w:rsidR="00646A1C" w:rsidRPr="006F1866">
        <w:rPr>
          <w:b/>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32AC4030"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9A60BF" w:rsidRDefault="00DE2B85" w:rsidP="00DE2B85">
      <w:pPr>
        <w:ind w:left="0"/>
        <w:jc w:val="both"/>
        <w:rPr>
          <w:b/>
        </w:rPr>
      </w:pPr>
      <w:r w:rsidRPr="009A60BF">
        <w:rPr>
          <w:b/>
        </w:rPr>
        <w:t>Článek 1.3 (pořadí přednosti ustanovení jednotlivých dokumentů smlouvy)</w:t>
      </w:r>
    </w:p>
    <w:p w14:paraId="3AF53255" w14:textId="13F13189" w:rsidR="009F679A" w:rsidRPr="009A60BF" w:rsidRDefault="009F679A" w:rsidP="009F679A">
      <w:pPr>
        <w:ind w:left="0"/>
        <w:jc w:val="both"/>
      </w:pPr>
      <w:r w:rsidRPr="009A60BF">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9A60BF" w:rsidRDefault="009F679A" w:rsidP="009F679A">
      <w:pPr>
        <w:ind w:left="0"/>
        <w:jc w:val="both"/>
      </w:pPr>
      <w:r w:rsidRPr="009A60BF">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9A60BF" w:rsidRDefault="009F679A" w:rsidP="009F679A">
      <w:pPr>
        <w:ind w:left="0"/>
        <w:jc w:val="both"/>
      </w:pPr>
      <w:r w:rsidRPr="009A60BF">
        <w:t xml:space="preserve">1.3.2. další podmínky smlouvy, stanovené ve smlouvě nebo objednávce, </w:t>
      </w:r>
    </w:p>
    <w:p w14:paraId="4C77A365" w14:textId="27060759" w:rsidR="00DE2B85" w:rsidRDefault="009F679A" w:rsidP="009F679A">
      <w:pPr>
        <w:ind w:left="0"/>
        <w:jc w:val="both"/>
      </w:pPr>
      <w:r w:rsidRPr="009A60BF">
        <w:t>1.3.3. tyto Všeobecné podmínky</w:t>
      </w:r>
      <w:bookmarkStart w:id="1" w:name="_GoBack"/>
      <w:bookmarkEnd w:id="1"/>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54960D57" w14:textId="490BF3E7" w:rsidR="0080655D" w:rsidRDefault="00672106" w:rsidP="00672106">
      <w:pPr>
        <w:ind w:left="0"/>
        <w:jc w:val="both"/>
      </w:pPr>
      <w:r w:rsidRPr="00672106">
        <w:t xml:space="preserve"> </w:t>
      </w:r>
      <w:hyperlink r:id="rId5" w:history="1">
        <w:r w:rsidRPr="00EA119C">
          <w:rPr>
            <w:rStyle w:val="Hypertextovodkaz"/>
          </w:rPr>
          <w:t>http://www.eon.cz/o-nas/o-skupine-eon/pro-partnery/vseobecne-nakupni-podminky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6"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 xml:space="preserve">Vlastnické právo k věcem tvořícím součást předmětu plnění smlouvy přechází, pokud již nejsou ve </w:t>
      </w:r>
      <w:r>
        <w:lastRenderedPageBreak/>
        <w:t>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 xml:space="preserve">Povinnosti spolupráce společnosti E.ON musí být dohodnuty výslovně v písemné podobě. Totéž platí, </w:t>
      </w:r>
      <w:r>
        <w:lastRenderedPageBreak/>
        <w:t>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w:t>
      </w:r>
      <w:r>
        <w:lastRenderedPageBreak/>
        <w:t xml:space="preserve">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3357CB89" w14:textId="77777777" w:rsidR="002A0367" w:rsidRDefault="002A0367" w:rsidP="008C3CCF">
      <w:pPr>
        <w:ind w:left="0"/>
        <w:jc w:val="both"/>
      </w:pPr>
    </w:p>
    <w:p w14:paraId="4A282867" w14:textId="77777777" w:rsidR="002A0367" w:rsidRDefault="002A0367" w:rsidP="008C3CCF">
      <w:pPr>
        <w:ind w:left="0"/>
        <w:jc w:val="both"/>
      </w:pPr>
    </w:p>
    <w:p w14:paraId="01A2C4E6" w14:textId="77777777" w:rsidR="002A0367" w:rsidRPr="006F1866" w:rsidRDefault="002A0367" w:rsidP="002A0367">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14:paraId="5C6857FC" w14:textId="77777777" w:rsidR="002A0367" w:rsidRPr="006F1866" w:rsidRDefault="002A0367" w:rsidP="002A0367">
      <w:pPr>
        <w:pStyle w:val="Bezmezer"/>
        <w:ind w:left="4956"/>
        <w:rPr>
          <w:rFonts w:ascii="Arial" w:hAnsi="Arial" w:cs="Arial"/>
          <w:b/>
          <w:sz w:val="20"/>
          <w:szCs w:val="20"/>
        </w:rPr>
      </w:pPr>
      <w:r w:rsidRPr="006F1866">
        <w:rPr>
          <w:rFonts w:ascii="Arial" w:hAnsi="Arial" w:cs="Arial"/>
          <w:sz w:val="20"/>
          <w:szCs w:val="20"/>
        </w:rPr>
        <w:lastRenderedPageBreak/>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sectPr w:rsidR="002A0367" w:rsidRPr="006F1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3179A"/>
    <w:rsid w:val="00142940"/>
    <w:rsid w:val="0016058B"/>
    <w:rsid w:val="001B6B6D"/>
    <w:rsid w:val="00265238"/>
    <w:rsid w:val="002A0367"/>
    <w:rsid w:val="002E0069"/>
    <w:rsid w:val="00343854"/>
    <w:rsid w:val="004A511F"/>
    <w:rsid w:val="004B045B"/>
    <w:rsid w:val="005102A7"/>
    <w:rsid w:val="005C3C73"/>
    <w:rsid w:val="005D707F"/>
    <w:rsid w:val="00606372"/>
    <w:rsid w:val="00646A1C"/>
    <w:rsid w:val="00672106"/>
    <w:rsid w:val="00727786"/>
    <w:rsid w:val="0074774D"/>
    <w:rsid w:val="00760246"/>
    <w:rsid w:val="007C234E"/>
    <w:rsid w:val="0080655D"/>
    <w:rsid w:val="00820567"/>
    <w:rsid w:val="00834A35"/>
    <w:rsid w:val="008846EF"/>
    <w:rsid w:val="008C3CCF"/>
    <w:rsid w:val="008E11E4"/>
    <w:rsid w:val="00915765"/>
    <w:rsid w:val="009A60BF"/>
    <w:rsid w:val="009E4700"/>
    <w:rsid w:val="009E5928"/>
    <w:rsid w:val="009F3198"/>
    <w:rsid w:val="009F679A"/>
    <w:rsid w:val="00AF78D2"/>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on.cz/o-nas/o-skupine-eon/pro-partnery/vseobecne-nakupni-podminky" TargetMode="External"/><Relationship Id="rId5" Type="http://schemas.openxmlformats.org/officeDocument/2006/relationships/hyperlink" Target="http://www.eon.cz/o-nas/o-skupine-eon/pro-partnery/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2210</Words>
  <Characters>13039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Jagošová, Alena</cp:lastModifiedBy>
  <cp:revision>8</cp:revision>
  <cp:lastPrinted>2019-01-30T09:02:00Z</cp:lastPrinted>
  <dcterms:created xsi:type="dcterms:W3CDTF">2020-04-08T09:28:00Z</dcterms:created>
  <dcterms:modified xsi:type="dcterms:W3CDTF">2020-05-07T12:29:00Z</dcterms:modified>
</cp:coreProperties>
</file>